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25E73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5E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26.04.2013 N 167н</w:t>
            </w:r>
            <w:r>
              <w:rPr>
                <w:sz w:val="48"/>
                <w:szCs w:val="48"/>
              </w:rPr>
              <w:br/>
              <w:t>(ред. от 20.02.2014)</w:t>
            </w:r>
            <w:r>
              <w:rPr>
                <w:sz w:val="48"/>
                <w:szCs w:val="48"/>
              </w:rPr>
              <w:br/>
      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5E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5E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5E73">
      <w:pPr>
        <w:pStyle w:val="ConsPlusNormal"/>
        <w:jc w:val="both"/>
        <w:outlineLvl w:val="0"/>
      </w:pPr>
    </w:p>
    <w:p w:rsidR="00000000" w:rsidRDefault="00E25E7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E25E73">
      <w:pPr>
        <w:pStyle w:val="ConsPlusTitle"/>
        <w:jc w:val="center"/>
      </w:pPr>
    </w:p>
    <w:p w:rsidR="00000000" w:rsidRDefault="00E25E73">
      <w:pPr>
        <w:pStyle w:val="ConsPlusTitle"/>
        <w:jc w:val="center"/>
      </w:pPr>
      <w:r>
        <w:t>ПРИКАЗ</w:t>
      </w:r>
    </w:p>
    <w:p w:rsidR="00000000" w:rsidRDefault="00E25E73">
      <w:pPr>
        <w:pStyle w:val="ConsPlusTitle"/>
        <w:jc w:val="center"/>
      </w:pPr>
      <w:r>
        <w:t>от 26 апреля 2013 г. N 167н</w:t>
      </w:r>
    </w:p>
    <w:p w:rsidR="00000000" w:rsidRDefault="00E25E73">
      <w:pPr>
        <w:pStyle w:val="ConsPlusTitle"/>
        <w:jc w:val="center"/>
      </w:pPr>
    </w:p>
    <w:p w:rsidR="00000000" w:rsidRDefault="00E25E73">
      <w:pPr>
        <w:pStyle w:val="ConsPlusTitle"/>
        <w:jc w:val="center"/>
      </w:pPr>
      <w:r>
        <w:t>ОБ УТВЕРЖДЕНИИ РЕКОМЕНДАЦИЙ</w:t>
      </w:r>
    </w:p>
    <w:p w:rsidR="00000000" w:rsidRDefault="00E25E73">
      <w:pPr>
        <w:pStyle w:val="ConsPlusTitle"/>
        <w:jc w:val="center"/>
      </w:pPr>
      <w:r>
        <w:t>ПО ОФОРМЛЕНИЮ ТРУДОВЫХ ОТНОШЕНИЙ С РАБОТНИКОМ</w:t>
      </w:r>
    </w:p>
    <w:p w:rsidR="00000000" w:rsidRDefault="00E25E73">
      <w:pPr>
        <w:pStyle w:val="ConsPlusTitle"/>
        <w:jc w:val="center"/>
      </w:pPr>
      <w:r>
        <w:t>ГОСУДАРСТВЕННОГО (МУНИЦИПАЛЬНОГО) УЧРЕЖДЕНИЯ</w:t>
      </w:r>
    </w:p>
    <w:p w:rsidR="00000000" w:rsidRDefault="00E25E73">
      <w:pPr>
        <w:pStyle w:val="ConsPlusTitle"/>
        <w:jc w:val="center"/>
      </w:pPr>
      <w:r>
        <w:t>ПРИ ВВЕДЕНИИ ЭФФЕКТИВНОГО КОНТРАКТА</w:t>
      </w:r>
    </w:p>
    <w:p w:rsidR="00000000" w:rsidRDefault="00E25E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5E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5E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E25E73">
      <w:pPr>
        <w:pStyle w:val="ConsPlusNormal"/>
        <w:jc w:val="center"/>
      </w:pPr>
    </w:p>
    <w:p w:rsidR="00000000" w:rsidRDefault="00E25E73">
      <w:pPr>
        <w:pStyle w:val="ConsPlusNormal"/>
        <w:ind w:firstLine="540"/>
        <w:jc w:val="both"/>
      </w:pPr>
      <w:r>
        <w:t>В соответствии с пунктом 15 прил</w:t>
      </w:r>
      <w:r>
        <w:t>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</w:t>
      </w:r>
      <w:r>
        <w:t>ва Российской Федерации, 2012, N 49, ст. 6909), приказываю: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9" w:tooltip="РЕКОМЕНДАЦИИ" w:history="1">
        <w:r>
          <w:rPr>
            <w:color w:val="0000FF"/>
          </w:rPr>
          <w:t>рекомендации</w:t>
        </w:r>
      </w:hyperlink>
      <w:r>
        <w:t xml:space="preserve"> по оформл</w:t>
      </w:r>
      <w:r>
        <w:t>ению трудовых отношений с работником государственного (муниципального) учреждения при введении эффективного контракта.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jc w:val="right"/>
      </w:pPr>
      <w:r>
        <w:t>Министр</w:t>
      </w:r>
    </w:p>
    <w:p w:rsidR="00000000" w:rsidRDefault="00E25E73">
      <w:pPr>
        <w:pStyle w:val="ConsPlusNormal"/>
        <w:jc w:val="right"/>
      </w:pPr>
      <w:r>
        <w:t>М.А.ТОПИЛИН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jc w:val="right"/>
        <w:outlineLvl w:val="0"/>
      </w:pPr>
      <w:r>
        <w:t>Утверждены</w:t>
      </w:r>
    </w:p>
    <w:p w:rsidR="00000000" w:rsidRDefault="00E25E73">
      <w:pPr>
        <w:pStyle w:val="ConsPlusNormal"/>
        <w:jc w:val="right"/>
      </w:pPr>
      <w:r>
        <w:t>приказом Минтруда России</w:t>
      </w:r>
    </w:p>
    <w:p w:rsidR="00000000" w:rsidRDefault="00E25E73">
      <w:pPr>
        <w:pStyle w:val="ConsPlusNormal"/>
        <w:jc w:val="right"/>
      </w:pPr>
      <w:r>
        <w:t>от 26 апреля 2013 г. N 167н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Title"/>
        <w:jc w:val="center"/>
      </w:pPr>
      <w:bookmarkStart w:id="0" w:name="Par29"/>
      <w:bookmarkEnd w:id="0"/>
      <w:r>
        <w:t>РЕКОМЕНДАЦИИ</w:t>
      </w:r>
    </w:p>
    <w:p w:rsidR="00000000" w:rsidRDefault="00E25E73">
      <w:pPr>
        <w:pStyle w:val="ConsPlusTitle"/>
        <w:jc w:val="center"/>
      </w:pPr>
      <w:r>
        <w:t>ПО ОФОРМЛЕНИЮ ТРУДОВЫХ ОТНОШЕНИЙ С РАБОТНИКОМ</w:t>
      </w:r>
    </w:p>
    <w:p w:rsidR="00000000" w:rsidRDefault="00E25E73">
      <w:pPr>
        <w:pStyle w:val="ConsPlusTitle"/>
        <w:jc w:val="center"/>
      </w:pPr>
      <w:r>
        <w:t>ГОСУДАРСТВЕННОГО (МУНИЦИПАЛЬНОГО) УЧРЕЖДЕНИЯ</w:t>
      </w:r>
    </w:p>
    <w:p w:rsidR="00000000" w:rsidRDefault="00E25E73">
      <w:pPr>
        <w:pStyle w:val="ConsPlusTitle"/>
        <w:jc w:val="center"/>
      </w:pPr>
      <w:r>
        <w:t>ПРИ ВВЕДЕНИИ ЭФФЕКТИВНОГО КОНТРАКТА</w:t>
      </w:r>
    </w:p>
    <w:p w:rsidR="00000000" w:rsidRDefault="00E25E7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5E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5E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  <w:r>
        <w:t>1. 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</w:t>
      </w:r>
      <w:r>
        <w:t xml:space="preserve">ической помощи государственным (муниципальным) учреждениям (далее - учреждение)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</w:t>
      </w:r>
      <w:r>
        <w:t>- 2018 годы, утвержденной распоряжением Правительства Российской Федерации от 26 ноября 2012 г. N 2190-р (далее - Программа).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2. В соответствии с разделом IV </w:t>
      </w:r>
      <w:r>
        <w:t xml:space="preserve">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</w:t>
      </w:r>
      <w:r>
        <w:lastRenderedPageBreak/>
        <w:t xml:space="preserve">и критерии оценки эффективности деятельности для назначения стимулирующих выплат в зависимости от </w:t>
      </w:r>
      <w:r>
        <w:t>результатов труда и качества оказываемых государственных (муниципальных) услуг, а также меры социальной поддержки.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</w:t>
      </w:r>
      <w:r>
        <w:t>нодательством Российской Федерации.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</w:t>
      </w:r>
      <w:r>
        <w:t>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&lt;1&gt; Раздел IV Программы.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систему оплаты труда работников (включая размеры окладов (до</w:t>
      </w:r>
      <w:r>
        <w:t>лжностных окладов), ставок заработной платы, доплат, надбавок);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систему нормирования труда;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000000" w:rsidRDefault="00E25E73">
      <w:pPr>
        <w:pStyle w:val="ConsPlusNormal"/>
        <w:jc w:val="both"/>
      </w:pPr>
      <w:r>
        <w:t>(в ред. Приказа Минтруда России от 20.02.2014 N 103н)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режим рабочего времени и време</w:t>
      </w:r>
      <w:r>
        <w:t>ни отдыха;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штатное расписание учреждения;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4. При поступлении на работу работник учреждения и работодатель заключают трудовой договор в соот</w:t>
      </w:r>
      <w:r>
        <w:t>ветствии с Трудовым кодексом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</w:t>
      </w:r>
      <w:r>
        <w:t>удового договора с работником учреждения, приведенная в приложении N 3 к Программе (далее - примерная форма трудового договора).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</w:t>
      </w:r>
      <w:r>
        <w:t>ределенных сторонами условий трудового договора (далее также - дополнительное соглашение к трудовому договору).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 соответствии с частью второй статьи 74 Трудового кодекса Российской Федерации о предстоящих изменениях определенных сторонами условий трудовог</w:t>
      </w:r>
      <w:r>
        <w:t>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Дополнительное соглашение к</w:t>
      </w:r>
      <w:r>
        <w:t xml:space="preserve">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6. В соответствии со статьей 72 Трудового кодекса</w:t>
      </w:r>
      <w:r>
        <w:t xml:space="preserve">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Рекомендуется составлять дополнительное соглашение к трудовому договору в двух экземплярах. Один экземпляр дополнительного согла</w:t>
      </w:r>
      <w:r>
        <w:t xml:space="preserve">шения к трудовому договору передается работнику учреждения, </w:t>
      </w:r>
      <w:r>
        <w:lastRenderedPageBreak/>
        <w:t xml:space="preserve">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</w:t>
      </w:r>
      <w:r>
        <w:t>на экземпляре трудового договора или дополнительного соглашения к трудовому договору, хранящихся у работодателя.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7. В случае отсутствия в ранее заключенном трудовом договоре информации о работодателе и работнике учреждения, предусмотренной примерной формой</w:t>
      </w:r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8. В дополнительное соглашение к трудовому договору рекомендуется включать условия, предусмотренные статьей 57 Трудового кодекса Российской Федера</w:t>
      </w:r>
      <w:r>
        <w:t>ции (в случае отсутствия этих условий в ранее заключенном трудовом договоре), в частности: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</w:t>
      </w:r>
      <w:r>
        <w:t>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</w:t>
      </w:r>
      <w:r>
        <w:t>ретный вид поручаемой работнику учреждения работы. Если в соответств</w:t>
      </w:r>
      <w:bookmarkStart w:id="1" w:name="_GoBack"/>
      <w:bookmarkEnd w:id="1"/>
      <w:r>
        <w:t>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</w:t>
      </w:r>
      <w:r>
        <w:t>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</w:t>
      </w:r>
      <w:r>
        <w:t>аемом Правительством Российской Федерации, или соответствующим положениям профессиональных стандартов;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</w:t>
      </w:r>
      <w:r>
        <w:t xml:space="preserve"> трудового договора в соответствии с Трудовым кодексом Российской Федерации или иным федеральным законом;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 учреждения, доплаты, надбавки и поощрительные выпл</w:t>
      </w:r>
      <w:r>
        <w:t>аты).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</w:t>
      </w:r>
      <w:r>
        <w:t>ения выплаты, показатели и критерии оценки эффективности деятельности, периодичность, размер выплаты);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компенсации за т</w:t>
      </w:r>
      <w:r>
        <w:t>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условия, определяющие в необходимых случаях характер ра</w:t>
      </w:r>
      <w:r>
        <w:t>боты (подвижной, разъездной, в пути, другой характер работы);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другие условия в случаях, предусмотренн</w:t>
      </w:r>
      <w:r>
        <w:t>ых трудовым законодательством и иными нормативными правовыми актами, содержащими нормы трудового права.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lastRenderedPageBreak/>
        <w:t xml:space="preserve"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</w:t>
      </w:r>
      <w:r>
        <w:t>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меры социальной поддержки и другие усло</w:t>
      </w:r>
      <w:r>
        <w:t>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</w:t>
      </w:r>
      <w:r>
        <w:t>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9. Рекомендуется отражать должностные обязанности работника учреждения непосредственно </w:t>
      </w:r>
      <w:r>
        <w:t>в тексте трудового договора. 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</w:t>
      </w:r>
      <w:r>
        <w:t>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10. Если трудовые обязанности </w:t>
      </w:r>
      <w:r>
        <w:t>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</w:t>
      </w:r>
      <w:r>
        <w:t xml:space="preserve">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</w:t>
      </w:r>
      <w:r>
        <w:t>ссий рабочих), предусмотренные соответствующими квалификационными характеристиками ЕКС, тарифно-квалификационными характеристиками ЕТКС и профессиональными стандартами.</w:t>
      </w:r>
    </w:p>
    <w:p w:rsidR="00000000" w:rsidRDefault="00E25E73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 xml:space="preserve">11. В системах оплаты труда, трудовых договорах и дополнительных соглашениях </w:t>
      </w:r>
      <w:r>
        <w:t>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а) выплаты за интенсивность и высокие результаты работы: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надбавка за интенсивность труда;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премия за высокие результаты р</w:t>
      </w:r>
      <w:r>
        <w:t>аботы;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премия за выполнение особо важных и ответственных работ;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б) выплаты за качество выполняемых работ: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надбавка за наличие квалификационной категории;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в) выплаты за стаж непрерыв</w:t>
      </w:r>
      <w:r>
        <w:t>ной работы, выслугу лет: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надбавка за выслугу лет;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надбавка за стаж непрерывной работы;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г) премиальные выплаты по итогам работы: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премия по итогам работы за месяц;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премия по итогам работы за квартал;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lastRenderedPageBreak/>
        <w:t>премия по итогам работы за год;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д) выплаты работникам, зан</w:t>
      </w:r>
      <w:r>
        <w:t>ятым на тяжелых работах, работах с вредными и (или) опасными и иными особыми условиями труда;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районный коэффициент;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коэффициент за работу в пустынных и безводных местностях;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коэффициент </w:t>
      </w:r>
      <w:r>
        <w:t>за работу в высокогорных районах;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надбавка за стаж работы в районах Крайнего Севера и приравненных к ним местностях;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</w:t>
      </w:r>
      <w:r>
        <w:t>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доплата за совмещение профессий (должностей);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доплата за расширение зон </w:t>
      </w:r>
      <w:r>
        <w:t>обслуживания;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доплата за увеличение объема работы;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доплата за выполнение работ различной квалификации;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доплата за работу в ночное время;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 системах оплаты труда, трудовых договорах и дополнительных соглашениях к трудо</w:t>
      </w:r>
      <w:r>
        <w:t>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</w:t>
      </w:r>
      <w:r>
        <w:t>вными договорами и соглашениями.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74" w:tooltip="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13. Условия осущ</w:t>
      </w:r>
      <w:r>
        <w:t>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</w:t>
      </w:r>
      <w:r>
        <w:t>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</w:t>
      </w:r>
      <w:r>
        <w:t>тера.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</w:t>
      </w:r>
      <w:r>
        <w:t>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lastRenderedPageBreak/>
        <w:t>14. Если работнику учреждения поручается с его письменного согласия дополнительная работа по другой профессии (должности), в трудово</w:t>
      </w:r>
      <w:r>
        <w:t>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</w:t>
      </w:r>
      <w:r>
        <w:t>отника по основной и совмещаемой работе и других факторов.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15. 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</w:t>
      </w:r>
      <w:r>
        <w:t>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 xml:space="preserve">об уточнении места </w:t>
      </w:r>
      <w:r>
        <w:t>работы (с указанием структурного подразделения и его местонахождения) и (или) о рабочем месте;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об испытании;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об обязаннос</w:t>
      </w:r>
      <w:r>
        <w:t>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об улучшении социально-бытовых услови</w:t>
      </w:r>
      <w:r>
        <w:t>й работника учреждения и членов его семьи;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</w:t>
      </w:r>
      <w:r>
        <w:t>ормы трудового права.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</w:t>
      </w:r>
      <w:r>
        <w:t>мер, за выполнение функций классного руководителя).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16. В соответствии с частью первой статьи 100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</w:t>
      </w:r>
      <w:r>
        <w:t xml:space="preserve">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</w:t>
      </w:r>
      <w:r>
        <w:t>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</w:t>
      </w:r>
      <w:r>
        <w:t>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</w:t>
      </w:r>
      <w:r>
        <w:t>м.</w:t>
      </w:r>
    </w:p>
    <w:p w:rsidR="00000000" w:rsidRDefault="00E25E73">
      <w:pPr>
        <w:pStyle w:val="ConsPlusNormal"/>
        <w:spacing w:before="200"/>
        <w:ind w:firstLine="540"/>
        <w:jc w:val="both"/>
      </w:pPr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</w:t>
      </w:r>
      <w:r>
        <w:t>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</w:p>
    <w:p w:rsidR="00000000" w:rsidRDefault="00E25E73">
      <w:pPr>
        <w:pStyle w:val="ConsPlusNormal"/>
        <w:ind w:firstLine="540"/>
        <w:jc w:val="both"/>
      </w:pPr>
    </w:p>
    <w:p w:rsidR="00000000" w:rsidRDefault="00E25E73">
      <w:pPr>
        <w:pStyle w:val="ConsPlusNormal"/>
        <w:ind w:firstLine="540"/>
        <w:jc w:val="both"/>
      </w:pPr>
    </w:p>
    <w:p w:rsidR="00E25E73" w:rsidRDefault="00E25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5E7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73" w:rsidRDefault="00E25E73">
      <w:pPr>
        <w:spacing w:after="0" w:line="240" w:lineRule="auto"/>
      </w:pPr>
      <w:r>
        <w:separator/>
      </w:r>
    </w:p>
  </w:endnote>
  <w:endnote w:type="continuationSeparator" w:id="0">
    <w:p w:rsidR="00E25E73" w:rsidRDefault="00E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E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D74CD">
            <w:fldChar w:fldCharType="separate"/>
          </w:r>
          <w:r w:rsidR="007E20F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D74CD">
            <w:fldChar w:fldCharType="separate"/>
          </w:r>
          <w:r w:rsidR="007E20F7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E25E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73" w:rsidRDefault="00E25E73">
      <w:pPr>
        <w:spacing w:after="0" w:line="240" w:lineRule="auto"/>
      </w:pPr>
      <w:r>
        <w:separator/>
      </w:r>
    </w:p>
  </w:footnote>
  <w:footnote w:type="continuationSeparator" w:id="0">
    <w:p w:rsidR="00E25E73" w:rsidRDefault="00E2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26.04.2013 N 167н</w:t>
          </w:r>
          <w:r>
            <w:rPr>
              <w:sz w:val="16"/>
              <w:szCs w:val="16"/>
            </w:rPr>
            <w:br/>
            <w:t>(ред. от 20.02.2014)</w:t>
          </w:r>
          <w:r>
            <w:rPr>
              <w:sz w:val="16"/>
              <w:szCs w:val="16"/>
            </w:rPr>
            <w:br/>
            <w:t>"Об утверждении рекомендаций по оформле</w:t>
          </w:r>
          <w:r>
            <w:rPr>
              <w:sz w:val="16"/>
              <w:szCs w:val="16"/>
            </w:rPr>
            <w:t>нию трудовых отн...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25E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E7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25E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E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CD"/>
    <w:rsid w:val="003D74CD"/>
    <w:rsid w:val="007E20F7"/>
    <w:rsid w:val="00E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F3BA"/>
  <w14:defaultImageDpi w14:val="0"/>
  <w15:docId w15:val="{42F8DF83-6BF6-45D4-8726-D2FC65C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D7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4CD"/>
  </w:style>
  <w:style w:type="paragraph" w:styleId="a5">
    <w:name w:val="footer"/>
    <w:basedOn w:val="a"/>
    <w:link w:val="a6"/>
    <w:uiPriority w:val="99"/>
    <w:unhideWhenUsed/>
    <w:rsid w:val="003D7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15701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26.04.2013 N 167н(ред. от 20.02.2014)"Об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vt:lpstr>
    </vt:vector>
  </TitlesOfParts>
  <Company>КонсультантПлюс Версия 4017.00.21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26.04.2013 N 167н(ред. от 20.02.2014)"Об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dc:title>
  <dc:subject/>
  <dc:creator>Пользователь</dc:creator>
  <cp:keywords/>
  <dc:description/>
  <cp:lastModifiedBy>Пользователь</cp:lastModifiedBy>
  <cp:revision>2</cp:revision>
  <dcterms:created xsi:type="dcterms:W3CDTF">2018-02-24T12:22:00Z</dcterms:created>
  <dcterms:modified xsi:type="dcterms:W3CDTF">2018-02-24T12:22:00Z</dcterms:modified>
</cp:coreProperties>
</file>